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87E7" w14:textId="77777777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>INFORMATION ON BASE AND DISCOUNT RATES AND REFERENCE RATES</w:t>
      </w:r>
    </w:p>
    <w:p w14:paraId="7B284D7B" w14:textId="5995B356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As at 1 </w:t>
      </w:r>
      <w:r w:rsidR="00FF66C8">
        <w:rPr>
          <w:b/>
          <w:bCs/>
          <w:lang w:val="en-GB"/>
        </w:rPr>
        <w:t>October</w:t>
      </w:r>
      <w:r w:rsidRPr="0015390E">
        <w:rPr>
          <w:b/>
          <w:bCs/>
          <w:lang w:val="en-GB"/>
        </w:rPr>
        <w:t xml:space="preserve"> 202</w:t>
      </w:r>
      <w:r>
        <w:rPr>
          <w:b/>
          <w:bCs/>
          <w:lang w:val="en-GB"/>
        </w:rPr>
        <w:t>4</w:t>
      </w:r>
    </w:p>
    <w:p w14:paraId="54315A1A" w14:textId="77777777" w:rsidR="001937DE" w:rsidRPr="0015390E" w:rsidRDefault="001937DE" w:rsidP="001937DE">
      <w:pPr>
        <w:rPr>
          <w:lang w:val="en-GB"/>
        </w:rPr>
      </w:pPr>
    </w:p>
    <w:p w14:paraId="045A6FF1" w14:textId="77777777" w:rsidR="001937DE" w:rsidRPr="0015390E" w:rsidRDefault="001937DE" w:rsidP="001937DE">
      <w:pPr>
        <w:rPr>
          <w:lang w:val="en-GB"/>
        </w:rPr>
      </w:pPr>
    </w:p>
    <w:p w14:paraId="1C851186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>Breakdown of base, discount and reference rates</w:t>
      </w:r>
    </w:p>
    <w:p w14:paraId="37FDF229" w14:textId="77777777" w:rsidR="001937DE" w:rsidRPr="0015390E" w:rsidRDefault="001937DE" w:rsidP="001937DE">
      <w:pPr>
        <w:rPr>
          <w:lang w:val="en-GB"/>
        </w:rPr>
      </w:pPr>
    </w:p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1937DE" w:rsidRPr="0015390E" w14:paraId="2CB6D6C8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661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Base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5A7" w14:textId="2DDE6992" w:rsidR="001937DE" w:rsidRPr="0015390E" w:rsidRDefault="00FF66C8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3.45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D45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E59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50A6A84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31F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C82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E9A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65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32658A2D" w14:textId="77777777" w:rsidTr="00A63291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2BAA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Reference rates (RIR):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C6D6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F4C8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B6BDA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</w:tr>
      <w:tr w:rsidR="001937DE" w:rsidRPr="0015390E" w14:paraId="7675AF22" w14:textId="77777777" w:rsidTr="00A63291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29D1C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Rating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24749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Collateralisation</w:t>
            </w:r>
          </w:p>
        </w:tc>
      </w:tr>
      <w:tr w:rsidR="001937DE" w:rsidRPr="0015390E" w14:paraId="12715367" w14:textId="77777777" w:rsidTr="00A63291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C8F9C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8A6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8BE3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Normal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7D85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Low</w:t>
            </w:r>
          </w:p>
        </w:tc>
      </w:tr>
      <w:tr w:rsidR="00FF66C8" w:rsidRPr="0015390E" w14:paraId="5FFD4747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9421A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Strong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B550" w14:textId="61ACD412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9E0B" w14:textId="307301AA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4FFFD" w14:textId="4722E282" w:rsidR="00FF66C8" w:rsidRPr="0015390E" w:rsidRDefault="00825CD4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</w:t>
            </w:r>
            <w:r w:rsidR="00FF66C8">
              <w:t>.45</w:t>
            </w:r>
          </w:p>
        </w:tc>
      </w:tr>
      <w:tr w:rsidR="00FF66C8" w:rsidRPr="0015390E" w14:paraId="21235020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45BBE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Good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3F8C" w14:textId="359FB550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A82F" w14:textId="43404083" w:rsidR="00FF66C8" w:rsidRPr="0015390E" w:rsidRDefault="00825CD4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</w:t>
            </w:r>
            <w:r w:rsidR="00FF66C8">
              <w:t>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B1A78" w14:textId="0ED9DABF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5.65</w:t>
            </w:r>
          </w:p>
        </w:tc>
      </w:tr>
      <w:tr w:rsidR="00FF66C8" w:rsidRPr="0015390E" w14:paraId="7E42EBE9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5AFFE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Satisfactory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9158" w14:textId="5F80E477" w:rsidR="00FF66C8" w:rsidRPr="0015390E" w:rsidRDefault="00825CD4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</w:t>
            </w:r>
            <w:r w:rsidR="00FF66C8">
              <w:t>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B04B" w14:textId="0A6739D6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0E01F" w14:textId="4320E403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7.45</w:t>
            </w:r>
          </w:p>
        </w:tc>
      </w:tr>
      <w:tr w:rsidR="00FF66C8" w:rsidRPr="0015390E" w14:paraId="07AA07C3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14426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Weak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6568" w14:textId="359C802F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2D6F" w14:textId="05781E8C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7.45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ECF78" w14:textId="7403EA78" w:rsidR="00FF66C8" w:rsidRPr="0015390E" w:rsidRDefault="00825CD4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9.95</w:t>
            </w:r>
          </w:p>
        </w:tc>
      </w:tr>
      <w:tr w:rsidR="00FF66C8" w:rsidRPr="0015390E" w14:paraId="32D3CD7B" w14:textId="77777777" w:rsidTr="00A63291">
        <w:trPr>
          <w:trHeight w:val="73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F87D2A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Bad/Financial difficulties (CCC and lower)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6602" w14:textId="6BA62EFD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7.45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4BF1" w14:textId="4F18B603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9.95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24813" w14:textId="5BBECF7E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13.45</w:t>
            </w:r>
          </w:p>
        </w:tc>
      </w:tr>
      <w:tr w:rsidR="001937DE" w:rsidRPr="0015390E" w14:paraId="600334C2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397" w14:textId="77777777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B68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D6D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481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CE915E1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E5E4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Discount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FDA" w14:textId="2B637596" w:rsidR="001937DE" w:rsidRPr="0015390E" w:rsidRDefault="00FF66C8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4.45</w:t>
            </w:r>
            <w:r w:rsidR="001937D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A22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F53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</w:tbl>
    <w:p w14:paraId="74F93173" w14:textId="77777777" w:rsidR="001937DE" w:rsidRPr="0015390E" w:rsidRDefault="001937DE" w:rsidP="001937DE">
      <w:pPr>
        <w:rPr>
          <w:lang w:val="en-GB"/>
        </w:rPr>
      </w:pPr>
    </w:p>
    <w:p w14:paraId="16EB0B61" w14:textId="77777777" w:rsidR="001937DE" w:rsidRPr="0015390E" w:rsidRDefault="001937DE" w:rsidP="001937DE">
      <w:pPr>
        <w:rPr>
          <w:lang w:val="en-GB"/>
        </w:rPr>
      </w:pPr>
    </w:p>
    <w:p w14:paraId="522052CB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Main information </w:t>
      </w:r>
    </w:p>
    <w:p w14:paraId="3D150552" w14:textId="77777777" w:rsidR="001937DE" w:rsidRPr="0015390E" w:rsidRDefault="001937DE" w:rsidP="001937DE">
      <w:pPr>
        <w:rPr>
          <w:lang w:val="en-GB"/>
        </w:rPr>
      </w:pPr>
    </w:p>
    <w:p w14:paraId="6A79F0E1" w14:textId="77777777" w:rsidR="001937DE" w:rsidRPr="0015390E" w:rsidRDefault="001937DE" w:rsidP="001937DE">
      <w:pPr>
        <w:rPr>
          <w:lang w:val="en-GB"/>
        </w:rPr>
      </w:pPr>
    </w:p>
    <w:p w14:paraId="631ADCA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b/>
          <w:bCs/>
          <w:lang w:val="en-GB"/>
        </w:rPr>
        <w:t>Base rate</w:t>
      </w:r>
      <w:r w:rsidRPr="0015390E">
        <w:rPr>
          <w:lang w:val="en-GB"/>
        </w:rPr>
        <w:t xml:space="preserve"> is calculated and published by the European Commission in accordance with the Communication from the Commission on the revision of the method for setting the reference and discount rates (OJ </w:t>
      </w:r>
      <w:r w:rsidRPr="0015390E">
        <w:rPr>
          <w:rFonts w:cs="Arial"/>
          <w:lang w:val="en-GB"/>
        </w:rPr>
        <w:t>C 14, 19.1.2008.)</w:t>
      </w:r>
      <w:r w:rsidRPr="0015390E">
        <w:rPr>
          <w:rStyle w:val="FootnoteReference"/>
          <w:rFonts w:cs="Arial"/>
          <w:lang w:val="en-GB"/>
        </w:rPr>
        <w:footnoteReference w:id="1"/>
      </w:r>
      <w:r w:rsidRPr="0015390E">
        <w:rPr>
          <w:rFonts w:cs="Arial"/>
          <w:lang w:val="en-GB"/>
        </w:rPr>
        <w:t>, hereinafter: the Communication.</w:t>
      </w:r>
    </w:p>
    <w:p w14:paraId="188ECDC1" w14:textId="77777777" w:rsidR="001937DE" w:rsidRPr="0015390E" w:rsidRDefault="001937DE" w:rsidP="001937DE">
      <w:pPr>
        <w:rPr>
          <w:rFonts w:cs="Arial"/>
          <w:lang w:val="en-GB"/>
        </w:rPr>
      </w:pPr>
    </w:p>
    <w:p w14:paraId="3978209B" w14:textId="70A01659" w:rsidR="001937DE" w:rsidRPr="0015390E" w:rsidRDefault="00AC7218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Pursuant to the Communication, </w:t>
      </w:r>
      <w:r w:rsidR="003F1C78">
        <w:rPr>
          <w:rFonts w:cs="Arial"/>
          <w:lang w:val="en-GB"/>
        </w:rPr>
        <w:t xml:space="preserve">it is customary to use </w:t>
      </w:r>
      <w:r w:rsidR="00D038E6">
        <w:rPr>
          <w:rFonts w:cs="Arial"/>
          <w:lang w:val="en-GB"/>
        </w:rPr>
        <w:t xml:space="preserve">the </w:t>
      </w:r>
      <w:r w:rsidR="00DE6FA5" w:rsidRPr="0015390E">
        <w:rPr>
          <w:rFonts w:cs="Arial"/>
          <w:lang w:val="en-GB"/>
        </w:rPr>
        <w:t>12-month EURIBOR, i</w:t>
      </w:r>
      <w:r w:rsidR="00A05C22">
        <w:rPr>
          <w:rFonts w:cs="Arial"/>
          <w:lang w:val="en-GB"/>
        </w:rPr>
        <w:t>.</w:t>
      </w:r>
      <w:r w:rsidR="00DE6FA5" w:rsidRPr="0015390E">
        <w:rPr>
          <w:rFonts w:cs="Arial"/>
          <w:lang w:val="en-GB"/>
        </w:rPr>
        <w:t>e</w:t>
      </w:r>
      <w:r w:rsidR="00A05C22">
        <w:rPr>
          <w:rFonts w:cs="Arial"/>
          <w:lang w:val="en-GB"/>
        </w:rPr>
        <w:t xml:space="preserve">., </w:t>
      </w:r>
      <w:r w:rsidR="00DE6FA5" w:rsidRPr="0015390E">
        <w:rPr>
          <w:rFonts w:cs="Arial"/>
          <w:lang w:val="en-GB"/>
        </w:rPr>
        <w:t xml:space="preserve">its 3-month average value </w:t>
      </w:r>
      <w:r w:rsidR="00DE6FA5">
        <w:rPr>
          <w:rFonts w:cs="Arial"/>
          <w:lang w:val="en-GB"/>
        </w:rPr>
        <w:t>for the calculation of</w:t>
      </w:r>
      <w:r w:rsidR="00DE6FA5" w:rsidRPr="009D3033">
        <w:t xml:space="preserve"> </w:t>
      </w:r>
      <w:r w:rsidR="00DE6FA5" w:rsidRPr="009D3033">
        <w:rPr>
          <w:rFonts w:cs="Arial"/>
          <w:lang w:val="en-GB"/>
        </w:rPr>
        <w:t>the base rate</w:t>
      </w:r>
      <w:r w:rsidR="00D038E6">
        <w:rPr>
          <w:rFonts w:cs="Arial"/>
          <w:lang w:val="en-GB"/>
        </w:rPr>
        <w:t xml:space="preserve"> (</w:t>
      </w:r>
      <w:r w:rsidR="00912382">
        <w:rPr>
          <w:rFonts w:cs="Arial"/>
          <w:lang w:val="en-GB"/>
        </w:rPr>
        <w:t>in</w:t>
      </w:r>
      <w:r w:rsidR="00D038E6">
        <w:rPr>
          <w:rFonts w:cs="Arial"/>
          <w:lang w:val="en-GB"/>
        </w:rPr>
        <w:t xml:space="preserve"> the Republic of Croatia as of 1 January 2023)</w:t>
      </w:r>
      <w:r w:rsidR="00DE6FA5" w:rsidRPr="0015390E">
        <w:rPr>
          <w:rFonts w:cs="Arial"/>
          <w:lang w:val="en-GB"/>
        </w:rPr>
        <w:t xml:space="preserve">, provided that the base </w:t>
      </w:r>
      <w:r w:rsidR="00DE6FA5" w:rsidRPr="00AE6825">
        <w:rPr>
          <w:rFonts w:cs="Arial"/>
          <w:lang w:val="en-GB"/>
        </w:rPr>
        <w:t xml:space="preserve">rate changes </w:t>
      </w:r>
      <w:r w:rsidR="000E3242">
        <w:rPr>
          <w:rFonts w:cs="Arial"/>
          <w:lang w:val="en-GB"/>
        </w:rPr>
        <w:t>every January</w:t>
      </w:r>
      <w:r w:rsidR="0059596E">
        <w:rPr>
          <w:rFonts w:cs="Arial"/>
          <w:lang w:val="en-GB"/>
        </w:rPr>
        <w:t>,</w:t>
      </w:r>
      <w:r w:rsidR="00BA0137">
        <w:rPr>
          <w:rFonts w:cs="Arial"/>
          <w:lang w:val="en-GB"/>
        </w:rPr>
        <w:t xml:space="preserve"> and further </w:t>
      </w:r>
      <w:r w:rsidR="0059596E">
        <w:rPr>
          <w:rFonts w:cs="Arial"/>
          <w:lang w:val="en-GB"/>
        </w:rPr>
        <w:t>during the year</w:t>
      </w:r>
      <w:r w:rsidR="000E3242">
        <w:rPr>
          <w:rFonts w:cs="Arial"/>
          <w:lang w:val="en-GB"/>
        </w:rPr>
        <w:t xml:space="preserve"> </w:t>
      </w:r>
      <w:r w:rsidR="00DE6FA5" w:rsidRPr="00AE6825">
        <w:rPr>
          <w:rFonts w:cs="Arial"/>
          <w:lang w:val="en-GB"/>
        </w:rPr>
        <w:t xml:space="preserve">if the average rate for the preceding 3-month period differs for more than 15% from the base rate currently in effect. The base rate calculated in this way starts to apply on the first day of the second month following </w:t>
      </w:r>
      <w:r w:rsidR="00DE6FA5" w:rsidRPr="0015390E">
        <w:rPr>
          <w:rFonts w:cs="Arial"/>
          <w:lang w:val="en-GB"/>
        </w:rPr>
        <w:t>the last month used for the calculation of the average rate</w:t>
      </w:r>
      <w:r w:rsidR="001937DE" w:rsidRPr="0015390E">
        <w:rPr>
          <w:rFonts w:cs="Arial"/>
          <w:lang w:val="en-GB"/>
        </w:rPr>
        <w:t>.</w:t>
      </w:r>
    </w:p>
    <w:p w14:paraId="5087BCB0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7AE3108C" w14:textId="77777777" w:rsidR="00AC7218" w:rsidRDefault="00AC7218" w:rsidP="001937DE">
      <w:pPr>
        <w:jc w:val="both"/>
        <w:rPr>
          <w:rFonts w:cs="Arial"/>
          <w:b/>
          <w:bCs/>
          <w:lang w:val="en-GB"/>
        </w:rPr>
      </w:pPr>
    </w:p>
    <w:p w14:paraId="31FA1D68" w14:textId="57F55C4E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Reference rates (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 xml:space="preserve">eference </w:t>
      </w:r>
      <w:r>
        <w:rPr>
          <w:rFonts w:cs="Arial"/>
          <w:b/>
          <w:bCs/>
          <w:lang w:val="en-GB"/>
        </w:rPr>
        <w:t>i</w:t>
      </w:r>
      <w:r w:rsidRPr="0015390E">
        <w:rPr>
          <w:rFonts w:cs="Arial"/>
          <w:b/>
          <w:bCs/>
          <w:lang w:val="en-GB"/>
        </w:rPr>
        <w:t xml:space="preserve">nterest 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>ates – RIR)</w:t>
      </w:r>
      <w:r w:rsidRPr="0015390E">
        <w:rPr>
          <w:rFonts w:cs="Arial"/>
          <w:lang w:val="en-GB"/>
        </w:rPr>
        <w:t xml:space="preserve"> a</w:t>
      </w:r>
      <w:r>
        <w:rPr>
          <w:rFonts w:cs="Arial"/>
          <w:lang w:val="en-GB"/>
        </w:rPr>
        <w:t xml:space="preserve">re calculated by increasing the base rate by a certain number of basis points prescribed in the Communication, i.e. depending on the assessment of the borrower’s credit rating </w:t>
      </w:r>
      <w:r w:rsidRPr="0015390E">
        <w:rPr>
          <w:rFonts w:cs="Arial"/>
          <w:lang w:val="en-GB"/>
        </w:rPr>
        <w:t>(</w:t>
      </w:r>
      <w:r>
        <w:rPr>
          <w:rFonts w:cs="Arial"/>
          <w:lang w:val="en-GB"/>
        </w:rPr>
        <w:t>rating, creditworthiness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and the assessment of the collateral offered as placement security</w:t>
      </w:r>
      <w:r w:rsidRPr="0015390E">
        <w:rPr>
          <w:rFonts w:cs="Arial"/>
          <w:lang w:val="en-GB"/>
        </w:rPr>
        <w:t>.</w:t>
      </w:r>
    </w:p>
    <w:p w14:paraId="6346E523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31D15F0F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 used for the calculation of aid under loans approved at promotional interest rates</w:t>
      </w:r>
      <w:r w:rsidRPr="0015390E">
        <w:rPr>
          <w:rFonts w:cs="Arial"/>
          <w:lang w:val="en-GB"/>
        </w:rPr>
        <w:t>.</w:t>
      </w:r>
      <w:r w:rsidRPr="0015390E">
        <w:rPr>
          <w:rFonts w:cs="Arial"/>
          <w:lang w:val="en-GB"/>
        </w:rPr>
        <w:br w:type="page"/>
      </w:r>
    </w:p>
    <w:p w14:paraId="48389924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Current values of margins for the calculation of reference interest rates</w:t>
      </w:r>
      <w:r w:rsidRPr="0015390E">
        <w:rPr>
          <w:rFonts w:cs="Arial"/>
          <w:lang w:val="en-GB"/>
        </w:rPr>
        <w:t>:</w:t>
      </w:r>
    </w:p>
    <w:p w14:paraId="3E57D9F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1937DE" w:rsidRPr="0015390E" w14:paraId="37DAF088" w14:textId="77777777" w:rsidTr="00A63291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B52859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Margins in basis points</w:t>
            </w:r>
          </w:p>
        </w:tc>
      </w:tr>
      <w:tr w:rsidR="001937DE" w:rsidRPr="0015390E" w14:paraId="3160E4FC" w14:textId="77777777" w:rsidTr="00A63291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4A579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Rating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010037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Collateralisation</w:t>
            </w:r>
          </w:p>
        </w:tc>
      </w:tr>
      <w:tr w:rsidR="001937DE" w:rsidRPr="0015390E" w14:paraId="67C61BDE" w14:textId="77777777" w:rsidTr="00A63291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D3D76C7" w14:textId="77777777" w:rsidR="001937DE" w:rsidRPr="0015390E" w:rsidRDefault="001937DE" w:rsidP="00A63291">
            <w:pPr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A02AB5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37372E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0B18DF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Low</w:t>
            </w:r>
          </w:p>
        </w:tc>
      </w:tr>
      <w:tr w:rsidR="001937DE" w:rsidRPr="0015390E" w14:paraId="27842D9D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281367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Strong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A7D24A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DF399B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55C0DA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</w:tr>
      <w:tr w:rsidR="001937DE" w:rsidRPr="0015390E" w14:paraId="6CFD3114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4D69C21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Good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8306B6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94A728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5DD7C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</w:tr>
      <w:tr w:rsidR="001937DE" w:rsidRPr="0015390E" w14:paraId="05644E85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850C786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Satisfactory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E0331E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B9D422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00B67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</w:tr>
      <w:tr w:rsidR="001937DE" w:rsidRPr="0015390E" w14:paraId="2BD399B1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424F7A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Weak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3D38A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CB426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350A29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</w:tr>
      <w:tr w:rsidR="001937DE" w:rsidRPr="0015390E" w14:paraId="09703C4B" w14:textId="77777777" w:rsidTr="00A63291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FBBEA1F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Bad/Financial difficulties </w:t>
            </w:r>
          </w:p>
          <w:p w14:paraId="1711AAC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(CCC and lower)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D0CC4A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439F75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ED3ABB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1 000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val="en-GB" w:eastAsia="hr-HR"/>
              </w:rPr>
              <w:t>1</w:t>
            </w:r>
          </w:p>
        </w:tc>
      </w:tr>
    </w:tbl>
    <w:p w14:paraId="31C5B96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09675C93" w14:textId="77777777" w:rsidR="001937DE" w:rsidRPr="0015390E" w:rsidRDefault="001937DE" w:rsidP="001937DE">
      <w:pPr>
        <w:rPr>
          <w:rFonts w:cs="Arial"/>
          <w:lang w:val="en-GB"/>
        </w:rPr>
      </w:pPr>
    </w:p>
    <w:p w14:paraId="5D571BF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Dis</w:t>
      </w:r>
      <w:r>
        <w:rPr>
          <w:rFonts w:cs="Arial"/>
          <w:b/>
          <w:bCs/>
          <w:lang w:val="en-GB"/>
        </w:rPr>
        <w:t>c</w:t>
      </w:r>
      <w:r w:rsidRPr="0015390E">
        <w:rPr>
          <w:rFonts w:cs="Arial"/>
          <w:b/>
          <w:bCs/>
          <w:lang w:val="en-GB"/>
        </w:rPr>
        <w:t>o</w:t>
      </w:r>
      <w:r>
        <w:rPr>
          <w:rFonts w:cs="Arial"/>
          <w:b/>
          <w:bCs/>
          <w:lang w:val="en-GB"/>
        </w:rPr>
        <w:t>u</w:t>
      </w:r>
      <w:r w:rsidRPr="0015390E">
        <w:rPr>
          <w:rFonts w:cs="Arial"/>
          <w:b/>
          <w:bCs/>
          <w:lang w:val="en-GB"/>
        </w:rPr>
        <w:t>n</w:t>
      </w:r>
      <w:r>
        <w:rPr>
          <w:rFonts w:cs="Arial"/>
          <w:b/>
          <w:bCs/>
          <w:lang w:val="en-GB"/>
        </w:rPr>
        <w:t>t rate</w:t>
      </w:r>
      <w:r w:rsidRPr="0015390E">
        <w:rPr>
          <w:rFonts w:cs="Arial"/>
          <w:lang w:val="en-GB"/>
        </w:rPr>
        <w:t xml:space="preserve"> i</w:t>
      </w:r>
      <w:r>
        <w:rPr>
          <w:rFonts w:cs="Arial"/>
          <w:lang w:val="en-GB"/>
        </w:rPr>
        <w:t xml:space="preserve">s calculated by increasing the base rate for </w:t>
      </w:r>
      <w:r w:rsidRPr="0015390E">
        <w:rPr>
          <w:rFonts w:cs="Arial"/>
          <w:lang w:val="en-GB"/>
        </w:rPr>
        <w:t>100 ba</w:t>
      </w:r>
      <w:r>
        <w:rPr>
          <w:rFonts w:cs="Arial"/>
          <w:lang w:val="en-GB"/>
        </w:rPr>
        <w:t>sis points and it is used, for example, for the calculation of net present value</w:t>
      </w:r>
      <w:r w:rsidRPr="0015390E">
        <w:rPr>
          <w:rFonts w:cs="Arial"/>
          <w:lang w:val="en-GB"/>
        </w:rPr>
        <w:t>.</w:t>
      </w:r>
    </w:p>
    <w:p w14:paraId="71D7AA4A" w14:textId="77777777" w:rsidR="001937DE" w:rsidRPr="0015390E" w:rsidRDefault="001937DE" w:rsidP="001937DE">
      <w:pPr>
        <w:rPr>
          <w:rFonts w:cs="Arial"/>
          <w:lang w:val="en-GB"/>
        </w:rPr>
      </w:pPr>
    </w:p>
    <w:p w14:paraId="79ACCC7E" w14:textId="77777777" w:rsidR="001937DE" w:rsidRPr="0015390E" w:rsidRDefault="001937DE" w:rsidP="001937DE">
      <w:pPr>
        <w:rPr>
          <w:rFonts w:cs="Arial"/>
          <w:lang w:val="en-GB"/>
        </w:rPr>
      </w:pPr>
    </w:p>
    <w:p w14:paraId="752E0876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Aids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are granted if the effective interest rate </w:t>
      </w:r>
      <w:r w:rsidRPr="0015390E">
        <w:rPr>
          <w:rFonts w:cs="Arial"/>
          <w:lang w:val="en-GB"/>
        </w:rPr>
        <w:t>(E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 xml:space="preserve">is lower than the </w:t>
      </w: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 xml:space="preserve">IR for an individual borrower in accordance with the limits </w:t>
      </w:r>
      <w:r w:rsidRPr="0015390E">
        <w:rPr>
          <w:rFonts w:cs="Arial"/>
          <w:lang w:val="en-GB"/>
        </w:rPr>
        <w:t>(inten</w:t>
      </w:r>
      <w:r>
        <w:rPr>
          <w:rFonts w:cs="Arial"/>
          <w:lang w:val="en-GB"/>
        </w:rPr>
        <w:t>sity</w:t>
      </w:r>
      <w:r w:rsidRPr="0015390E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amount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prescribed by the Aid rules</w:t>
      </w:r>
      <w:r w:rsidRPr="0015390E">
        <w:rPr>
          <w:rFonts w:cs="Arial"/>
          <w:lang w:val="en-GB"/>
        </w:rPr>
        <w:t>.</w:t>
      </w:r>
    </w:p>
    <w:p w14:paraId="02079F77" w14:textId="77777777" w:rsidR="001937DE" w:rsidRPr="0015390E" w:rsidRDefault="001937DE" w:rsidP="001937DE">
      <w:pPr>
        <w:rPr>
          <w:lang w:val="en-GB"/>
        </w:rPr>
      </w:pPr>
    </w:p>
    <w:p w14:paraId="0C5C6771" w14:textId="77777777" w:rsidR="001937DE" w:rsidRDefault="001937DE"/>
    <w:sectPr w:rsidR="001937DE" w:rsidSect="00D76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477A" w14:textId="77777777" w:rsidR="006538E2" w:rsidRDefault="006538E2" w:rsidP="001937DE">
      <w:r>
        <w:separator/>
      </w:r>
    </w:p>
  </w:endnote>
  <w:endnote w:type="continuationSeparator" w:id="0">
    <w:p w14:paraId="2C1386AA" w14:textId="77777777" w:rsidR="006538E2" w:rsidRDefault="006538E2" w:rsidP="001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06BC" w14:textId="77777777" w:rsidR="00FF66C8" w:rsidRDefault="00FF6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442A" w14:textId="77777777" w:rsidR="00FF66C8" w:rsidRDefault="00FF6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0AD2" w14:textId="77777777" w:rsidR="00FF66C8" w:rsidRDefault="00FF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8560" w14:textId="77777777" w:rsidR="006538E2" w:rsidRDefault="006538E2" w:rsidP="001937DE">
      <w:r>
        <w:separator/>
      </w:r>
    </w:p>
  </w:footnote>
  <w:footnote w:type="continuationSeparator" w:id="0">
    <w:p w14:paraId="06CD6AA1" w14:textId="77777777" w:rsidR="006538E2" w:rsidRDefault="006538E2" w:rsidP="001937DE">
      <w:r>
        <w:continuationSeparator/>
      </w:r>
    </w:p>
  </w:footnote>
  <w:footnote w:id="1">
    <w:p w14:paraId="797D50CC" w14:textId="77777777" w:rsidR="001937DE" w:rsidRPr="007D2DD1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  <w:lang w:val="en-GB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</w:t>
      </w:r>
      <w:r w:rsidRPr="007D2DD1">
        <w:rPr>
          <w:rFonts w:ascii="Arial" w:hAnsi="Arial" w:cs="Arial"/>
          <w:sz w:val="18"/>
          <w:szCs w:val="18"/>
          <w:lang w:val="en-GB"/>
        </w:rPr>
        <w:t>Communication from the Commission on the revision of the method for setting the reference and discount rates (OJ C 14, 19.1.2008.)</w:t>
      </w:r>
      <w:r w:rsidRPr="007D2DD1">
        <w:rPr>
          <w:rStyle w:val="FootnoteReference"/>
          <w:rFonts w:ascii="Arial" w:hAnsi="Arial" w:cs="Arial"/>
          <w:sz w:val="18"/>
          <w:szCs w:val="18"/>
          <w:lang w:val="en-GB"/>
        </w:rPr>
        <w:t>,</w:t>
      </w:r>
      <w:r w:rsidRPr="007D2DD1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accessible from the link</w:t>
      </w:r>
      <w:r w:rsidRPr="007D2DD1">
        <w:rPr>
          <w:rFonts w:ascii="Arial" w:hAnsi="Arial" w:cs="Arial"/>
          <w:sz w:val="18"/>
          <w:szCs w:val="18"/>
          <w:lang w:val="en-GB"/>
        </w:rPr>
        <w:t>:</w:t>
      </w:r>
    </w:p>
    <w:p w14:paraId="5791A7A2" w14:textId="77777777" w:rsidR="001937DE" w:rsidRPr="004B6A05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</w:rPr>
      </w:pPr>
      <w:hyperlink r:id="rId1" w:history="1">
        <w:r w:rsidRPr="007D2DD1">
          <w:rPr>
            <w:rStyle w:val="Hyperlink"/>
            <w:rFonts w:ascii="Arial" w:hAnsi="Arial" w:cs="Arial"/>
            <w:sz w:val="18"/>
            <w:szCs w:val="18"/>
            <w:lang w:val="en-GB"/>
          </w:rPr>
          <w:t>https://eur-lex.europa.eu/legal-content/EN/ALL/?uri=CELEX%3A52008XC0119%2801%29</w:t>
        </w:r>
      </w:hyperlink>
    </w:p>
    <w:p w14:paraId="09D8D6A2" w14:textId="77777777" w:rsidR="001937DE" w:rsidRDefault="001937DE" w:rsidP="001937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C417" w14:textId="77777777" w:rsidR="00FF66C8" w:rsidRDefault="00FF6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3BA8" w14:textId="77777777" w:rsidR="00FF66C8" w:rsidRDefault="00FF66C8">
    <w:pPr>
      <w:pStyle w:val="Header"/>
    </w:pPr>
    <w:r w:rsidRPr="00D84EB7">
      <w:rPr>
        <w:rFonts w:cs="Arial"/>
        <w:noProof/>
      </w:rPr>
      <w:drawing>
        <wp:inline distT="0" distB="0" distL="0" distR="0" wp14:anchorId="13C6D8A9" wp14:editId="4E72931A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1A53A" w14:textId="77777777" w:rsidR="00FF66C8" w:rsidRDefault="00FF6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5F8C" w14:textId="77777777" w:rsidR="00FF66C8" w:rsidRDefault="00FF6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2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E"/>
    <w:rsid w:val="000E3242"/>
    <w:rsid w:val="001429E1"/>
    <w:rsid w:val="001937DE"/>
    <w:rsid w:val="003F1C78"/>
    <w:rsid w:val="004D523F"/>
    <w:rsid w:val="00552E4F"/>
    <w:rsid w:val="0059596E"/>
    <w:rsid w:val="006538E2"/>
    <w:rsid w:val="00824F4A"/>
    <w:rsid w:val="00825CD4"/>
    <w:rsid w:val="008E2F15"/>
    <w:rsid w:val="00912382"/>
    <w:rsid w:val="009A656F"/>
    <w:rsid w:val="00A05C22"/>
    <w:rsid w:val="00A26142"/>
    <w:rsid w:val="00A419D1"/>
    <w:rsid w:val="00AC7218"/>
    <w:rsid w:val="00BA0137"/>
    <w:rsid w:val="00BC305B"/>
    <w:rsid w:val="00C636CC"/>
    <w:rsid w:val="00D038E6"/>
    <w:rsid w:val="00D70DA2"/>
    <w:rsid w:val="00DE6FA5"/>
    <w:rsid w:val="00EB731A"/>
    <w:rsid w:val="00F9129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1696"/>
  <w15:chartTrackingRefBased/>
  <w15:docId w15:val="{82BE1A9E-3CEC-4079-9E44-8F6914C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DE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D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937DE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1937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rsid w:val="001937D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37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DE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D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Mlinarec Natalija</dc:creator>
  <cp:keywords/>
  <dc:description/>
  <cp:lastModifiedBy>Jakić Emilija</cp:lastModifiedBy>
  <cp:revision>22</cp:revision>
  <dcterms:created xsi:type="dcterms:W3CDTF">2024-01-03T14:55:00Z</dcterms:created>
  <dcterms:modified xsi:type="dcterms:W3CDTF">2024-11-11T08:43:00Z</dcterms:modified>
</cp:coreProperties>
</file>